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Calibri" w:cs="Calibri" w:eastAsia="Calibri" w:hAnsi="Calibri"/>
          <w:b/>
          <w:bCs/>
          <w:color w:val="0B2A4A"/>
          <w:sz w:val="32"/>
          <w:szCs w:val="32"/>
        </w:rPr>
        <w:t xml:space="preserve">MAXCON 2027</w:t>
      </w:r>
      <w:r>
        <w:rPr>
          <w:sz w:val="32"/>
          <w:szCs w:val="32"/>
        </w:rPr>
        <w:t xml:space="preserve">   </w:t>
      </w:r>
      <w:r>
        <w:rPr>
          <w:rFonts w:ascii="Calibri" w:cs="Calibri" w:eastAsia="Calibri" w:hAnsi="Calibri"/>
          <w:b/>
          <w:bCs/>
          <w:color w:val="0E7C86"/>
          <w:sz w:val="24"/>
          <w:szCs w:val="24"/>
        </w:rPr>
        <w:t xml:space="preserve">Expense Justification</w:t>
      </w:r>
    </w:p>
    <w:p>
      <w:pPr>
        <w:spacing w:after="20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16"/>
          <w:szCs w:val="16"/>
        </w:rPr>
        <w:t xml:space="preserve">April 5–9, 2027  ·  Maximo + TRIRIGA/MREF User Conference  ·  Port Canaveral, FL</w:t>
      </w:r>
    </w:p>
    <w:p>
      <w:pPr>
        <w:pBdr>
          <w:bottom w:val="single" w:color="C9A227" w:sz="12" w:space="1"/>
        </w:pBdr>
        <w:spacing w:after="80" w:before="0"/>
      </w:pPr>
      <w:r>
        <w:t xml:space="preserve"/>
      </w:r>
    </w:p>
    <w:p>
      <w:pPr>
        <w:spacing w:after="80"/>
      </w:pPr>
      <w:r>
        <w:rPr>
          <w:rFonts w:ascii="Calibri" w:cs="Calibri" w:eastAsia="Calibri" w:hAnsi="Calibri"/>
          <w:b/>
          <w:bCs/>
          <w:i w:val="false"/>
          <w:iCs w:val="false"/>
          <w:sz w:val="18"/>
          <w:szCs w:val="18"/>
        </w:rPr>
        <w:t xml:space="preserve">To: </w:t>
      </w:r>
      <w:r>
        <w:rPr>
          <w:rFonts w:ascii="Calibri" w:cs="Calibri" w:eastAsia="Calibri" w:hAnsi="Calibri"/>
          <w:b w:val="false"/>
          <w:bCs w:val="false"/>
          <w:i/>
          <w:iCs/>
          <w:color w:val="777777"/>
          <w:sz w:val="18"/>
          <w:szCs w:val="18"/>
        </w:rPr>
        <w:t xml:space="preserve">[Manager / Approver]</w:t>
      </w:r>
      <w:r>
        <w:rPr>
          <w:rFonts w:ascii="Calibri" w:cs="Calibri" w:eastAsia="Calibri" w:hAnsi="Calibri"/>
          <w:b/>
          <w:bCs/>
          <w:i w:val="false"/>
          <w:iCs w:val="false"/>
          <w:sz w:val="18"/>
          <w:szCs w:val="18"/>
        </w:rPr>
        <w:t xml:space="preserve">    From: </w:t>
      </w:r>
      <w:r>
        <w:rPr>
          <w:rFonts w:ascii="Calibri" w:cs="Calibri" w:eastAsia="Calibri" w:hAnsi="Calibri"/>
          <w:b w:val="false"/>
          <w:bCs w:val="false"/>
          <w:i/>
          <w:iCs/>
          <w:color w:val="777777"/>
          <w:sz w:val="18"/>
          <w:szCs w:val="18"/>
        </w:rPr>
        <w:t xml:space="preserve">[Your name, role]</w:t>
      </w:r>
      <w:r>
        <w:rPr>
          <w:rFonts w:ascii="Calibri" w:cs="Calibri" w:eastAsia="Calibri" w:hAnsi="Calibri"/>
          <w:b/>
          <w:bCs/>
          <w:i w:val="false"/>
          <w:iCs w:val="false"/>
          <w:sz w:val="18"/>
          <w:szCs w:val="18"/>
        </w:rPr>
        <w:t xml:space="preserve">    Re: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18"/>
          <w:szCs w:val="18"/>
        </w:rPr>
        <w:t xml:space="preserve">Request to attend MAXCON 2027 — the lowest total-cost option for Maximo/TRIRIGA training next year.</w:t>
      </w:r>
    </w:p>
    <w:tbl>
      <w:tblPr>
        <w:tblW w:type="dxa" w:w="964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48"/>
      </w:tblGrid>
      <w:tr>
        <w:tc>
          <w:tcPr>
            <w:tcW w:type="dxa" w:w="9648"/>
            <w:tcBorders>
              <w:top w:val="single" w:color="0B2A4A" w:sz="12"/>
              <w:left w:val="single" w:color="0B2A4A" w:sz="12"/>
              <w:bottom w:val="single" w:color="0B2A4A" w:sz="12"/>
              <w:right w:val="single" w:color="0B2A4A" w:sz="12"/>
            </w:tcBorders>
            <w:shd w:fill="F2F4F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B2A4A"/>
                <w:sz w:val="18"/>
                <w:szCs w:val="18"/>
              </w:rPr>
              <w:t xml:space="preserve">THE ASK:  </w:t>
            </w: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Approve $4,000 (ex-airfare) for MAXCON 2027 — </w:t>
            </w:r>
            <w:r>
              <w:rPr>
                <w:rFonts w:ascii="Calibri" w:cs="Calibri" w:eastAsia="Calibri" w:hAnsi="Calibri"/>
                <w:b/>
                <w:bCs/>
                <w:color w:val="0E7C86"/>
                <w:sz w:val="18"/>
                <w:szCs w:val="18"/>
              </w:rPr>
              <w:t xml:space="preserve">$300–$550 less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than other comparable land-based conferences at the hotel rates attendees actually paid.</w:t>
            </w:r>
          </w:p>
        </w:tc>
      </w:tr>
    </w:tbl>
    <w:p>
      <w:pPr>
        <w:spacing w:after="40" w:before="10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1.  </w:t>
      </w:r>
      <w:r>
        <w:rPr>
          <w:rFonts w:ascii="Calibri" w:cs="Calibri" w:eastAsia="Calibri" w:hAnsi="Calibri"/>
          <w:b/>
          <w:bCs/>
          <w:color w:val="0B2A4A"/>
          <w:sz w:val="20"/>
          <w:szCs w:val="20"/>
        </w:rPr>
        <w:t xml:space="preserve">Head-to-head cost comparison (ex-airfare, attendee-paid hotel rates)</w:t>
      </w:r>
      <w:r>
        <w:rPr>
          <w:rStyle w:val="FootnoteReference"/>
        </w:rPr>
        <w:footnoteReference w:id="2"/>
      </w:r>
    </w:p>
    <w:tbl>
      <w:tblPr>
        <w:tblW w:type="dxa" w:w="964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4"/>
        <w:gridCol w:w="3424"/>
      </w:tblGrid>
      <w:tr>
        <w:trPr>
          <w:tblHeader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Line item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MAXCON 2027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Other Conferences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Registration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$3,750 (full price)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$1,800–$2,700 (plus membership where applicable)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Hotel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6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1 pre-night ≈ $250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$1,400–$1,500 (4 nights)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Meals (all)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6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Included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$200 (dinners out)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Evening activities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6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Included every night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$150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16"/>
                <w:szCs w:val="16"/>
              </w:rPr>
              <w:t xml:space="preserve">Total (ex-airfare)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E7C86"/>
                <w:sz w:val="18"/>
                <w:szCs w:val="18"/>
              </w:rPr>
              <w:t xml:space="preserve">$4,000</w:t>
            </w:r>
          </w:p>
        </w:tc>
        <w:tc>
          <w:tcPr>
            <w:tcW w:type="dxa" w:w="342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4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sz w:val="16"/>
                <w:szCs w:val="16"/>
              </w:rPr>
              <w:t xml:space="preserve">$4,300–$4,550</w:t>
            </w:r>
          </w:p>
        </w:tc>
      </w:tr>
    </w:tbl>
    <w:p>
      <w:pPr>
        <w:spacing w:after="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0B2A4A"/>
          <w:sz w:val="16"/>
          <w:szCs w:val="16"/>
        </w:rPr>
        <w:t xml:space="preserve">The $300–$550 advantage is a floor, not a ceiling. </w:t>
      </w: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6"/>
          <w:szCs w:val="16"/>
        </w:rPr>
        <w:t xml:space="preserve">Two reasons: (1) MAXCON's $3,750 above is the </w:t>
      </w:r>
      <w:r>
        <w:rPr>
          <w:rFonts w:ascii="Calibri" w:cs="Calibri" w:eastAsia="Calibri" w:hAnsi="Calibri"/>
          <w:b/>
          <w:bCs/>
          <w:i/>
          <w:iCs/>
          <w:color w:val="333333"/>
          <w:sz w:val="16"/>
          <w:szCs w:val="16"/>
        </w:rPr>
        <w:t xml:space="preserve">full undiscounted rate</w:t>
      </w: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6"/>
          <w:szCs w:val="16"/>
        </w:rPr>
        <w:t xml:space="preserve"> — early-bird tiers and group pricing (5+ registrants) at liquidenterprise.com/maxcon/pricing reduce it further. (2) MAXCON's lodging, meals, and evening activities are bundled at fixed cost, while the land-based conferences carry the same line items as </w:t>
      </w:r>
      <w:r>
        <w:rPr>
          <w:rFonts w:ascii="Calibri" w:cs="Calibri" w:eastAsia="Calibri" w:hAnsi="Calibri"/>
          <w:b/>
          <w:bCs/>
          <w:i/>
          <w:iCs/>
          <w:color w:val="333333"/>
          <w:sz w:val="16"/>
          <w:szCs w:val="16"/>
        </w:rPr>
        <w:t xml:space="preserve">variable</w:t>
      </w: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6"/>
          <w:szCs w:val="16"/>
        </w:rPr>
        <w:t xml:space="preserve"> expenses that routinely exceed estimates once on-site (resort upgrades, dinner overages, off-site networking). What we approve here is what shows up on the expense report.</w:t>
      </w:r>
    </w:p>
    <w:p>
      <w:pPr>
        <w:spacing w:after="40" w:before="10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2.  </w:t>
      </w:r>
      <w:r>
        <w:rPr>
          <w:rFonts w:ascii="Calibri" w:cs="Calibri" w:eastAsia="Calibri" w:hAnsi="Calibri"/>
          <w:b/>
          <w:bCs/>
          <w:color w:val="0B2A4A"/>
          <w:sz w:val="20"/>
          <w:szCs w:val="20"/>
        </w:rPr>
        <w:t xml:space="preserve">Conservative ROI — what comes back to the team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b/>
          <w:bCs/>
          <w:i w:val="false"/>
          <w:iCs w:val="false"/>
          <w:sz w:val="18"/>
          <w:szCs w:val="18"/>
        </w:rPr>
        <w:t xml:space="preserve">Maximo optimization: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18"/>
          <w:szCs w:val="18"/>
        </w:rPr>
        <w:t xml:space="preserve">The work-management and PM techniques covered in MAXCON's hands-on workshops are benchmarked by IBM at 10–25% reductions in labor and inventory cost. A 1% improvement on a single workflow pays for the trip.</w:t>
      </w:r>
      <w:r>
        <w:rPr>
          <w:rStyle w:val="FootnoteReference"/>
        </w:rPr>
        <w:footnoteReference w:id="1"/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Upside: </w:t>
      </w:r>
      <w:r>
        <w:rPr>
          <w:rFonts w:ascii="Calibri" w:cs="Calibri" w:eastAsia="Calibri" w:hAnsi="Calibri"/>
          <w:sz w:val="18"/>
          <w:szCs w:val="18"/>
        </w:rPr>
        <w:t xml:space="preserve">Industry case studies of training-led conference ROI report </w:t>
      </w:r>
      <w:r>
        <w:rPr>
          <w:rFonts w:ascii="Calibri" w:cs="Calibri" w:eastAsia="Calibri" w:hAnsi="Calibri"/>
          <w:b/>
          <w:bCs/>
          <w:color w:val="0E7C86"/>
          <w:sz w:val="18"/>
          <w:szCs w:val="18"/>
        </w:rPr>
        <w:t xml:space="preserve">3×–6× returns within 12 months</w:t>
      </w:r>
      <w:r>
        <w:rPr>
          <w:rFonts w:ascii="Calibri" w:cs="Calibri" w:eastAsia="Calibri" w:hAnsi="Calibri"/>
          <w:sz w:val="18"/>
          <w:szCs w:val="18"/>
        </w:rPr>
        <w:t xml:space="preserve"> — a $12,000–$24,000 contribution back, against a $4,000 spend.</w:t>
      </w:r>
    </w:p>
    <w:p>
      <w:pPr>
        <w:spacing w:after="40" w:before="10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3.  </w:t>
      </w:r>
      <w:r>
        <w:rPr>
          <w:rFonts w:ascii="Calibri" w:cs="Calibri" w:eastAsia="Calibri" w:hAnsi="Calibri"/>
          <w:b/>
          <w:bCs/>
          <w:color w:val="0B2A4A"/>
          <w:sz w:val="20"/>
          <w:szCs w:val="20"/>
        </w:rPr>
        <w:t xml:space="preserve">What I will bring back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Written trip report </w:t>
      </w:r>
      <w:r>
        <w:rPr>
          <w:rFonts w:ascii="Calibri" w:cs="Calibri" w:eastAsia="Calibri" w:hAnsi="Calibri"/>
          <w:sz w:val="18"/>
          <w:szCs w:val="18"/>
        </w:rPr>
        <w:t xml:space="preserve">within 5 business days — three highest-leverage takeaways for our Maximo/TRIRIGA roadmap.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Named peer + vendor contacts </w:t>
      </w:r>
      <w:r>
        <w:rPr>
          <w:rFonts w:ascii="Calibri" w:cs="Calibri" w:eastAsia="Calibri" w:hAnsi="Calibri"/>
          <w:sz w:val="18"/>
          <w:szCs w:val="18"/>
        </w:rPr>
        <w:t xml:space="preserve">for our top two open implementation questions, with intros made.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One concrete process or configuration change </w:t>
      </w:r>
      <w:r>
        <w:rPr>
          <w:rFonts w:ascii="Calibri" w:cs="Calibri" w:eastAsia="Calibri" w:hAnsi="Calibri"/>
          <w:sz w:val="18"/>
          <w:szCs w:val="18"/>
        </w:rPr>
        <w:t xml:space="preserve">proposed, scoped, and quantified for your approval within 30 days of return.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Approved by: </w:t>
      </w:r>
      <w:r>
        <w:rPr>
          <w:rFonts w:ascii="Calibri" w:cs="Calibri" w:eastAsia="Calibri" w:hAnsi="Calibri"/>
          <w:sz w:val="18"/>
          <w:szCs w:val="18"/>
        </w:rPr>
        <w:t xml:space="preserve">___________________________   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Date: </w:t>
      </w:r>
      <w:r>
        <w:rPr>
          <w:rFonts w:ascii="Calibri" w:cs="Calibri" w:eastAsia="Calibri" w:hAnsi="Calibri"/>
          <w:sz w:val="18"/>
          <w:szCs w:val="18"/>
        </w:rPr>
        <w:t xml:space="preserve">_________________</w:t>
      </w:r>
    </w:p>
    <w:sectPr>
      <w:footerReference w:type="default" r:id="rId7"/>
      <w:pgSz w:w="12240" w:h="15840" w:orient="portrait"/>
      <w:pgMar w:top="864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77777"/>
        <w:sz w:val="14"/>
        <w:szCs w:val="14"/>
      </w:rPr>
      <w:t xml:space="preserve">MAXCON 2027  ·  April 5–9, 2027  ·  liquidenterprise.com/maxcon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4"/>
          <w:szCs w:val="14"/>
        </w:rPr>
        <w:t xml:space="preserve">IBM Training, “IBM Maximo” program page (ibm.com/training/maximo).</w:t>
      </w:r>
    </w:p>
  </w:footnote>
  <w:footnote w:id="2">
    <w:p>
      <w:r>
        <w:rPr>
          <w:rStyle w:val="FootnoteReference"/>
        </w:rPr>
        <w:footnoteRef/>
      </w:r>
      <w:r>
        <w:rPr>
          <w:rFonts w:ascii="Calibri" w:cs="Calibri" w:eastAsia="Calibri" w:hAnsi="Calibri"/>
          <w:sz w:val="14"/>
          <w:szCs w:val="14"/>
        </w:rPr>
        <w:t xml:space="preserve">Hotel rates reflect attendee-paid totals at recent comparable events of the same scale — $1,400–$1,500 for 4 nights ($350–$375/night). MAXCON figure assumes one pre-cruise night at the conference’s negotiated rate of $229 + taxes (rounded to $250); the remaining 3 nights are aboard the ship and included in the registration fee.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MAXCON 2027 Expense Justification</dc:title>
  <dc:creator>MAXCON 2027</dc:creator>
  <cp:lastModifiedBy>Un-named</cp:lastModifiedBy>
  <cp:revision>1</cp:revision>
  <dcterms:created xsi:type="dcterms:W3CDTF">2026-05-23T22:51:31.532Z</dcterms:created>
  <dcterms:modified xsi:type="dcterms:W3CDTF">2026-05-23T22:51:31.535Z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